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E6ED4" w14:textId="19EC8775" w:rsidR="00B75619" w:rsidRPr="00C9610D" w:rsidRDefault="00252F6A" w:rsidP="003B7DEF">
      <w:pPr>
        <w:rPr>
          <w:b/>
          <w:sz w:val="32"/>
          <w:lang w:val="en-US"/>
        </w:rPr>
      </w:pPr>
      <w:r w:rsidRPr="00C9610D">
        <w:rPr>
          <w:b/>
          <w:sz w:val="32"/>
          <w:lang w:val="en-US"/>
        </w:rPr>
        <w:t xml:space="preserve">Blood </w:t>
      </w:r>
      <w:r w:rsidR="003B7DEF" w:rsidRPr="00C9610D">
        <w:rPr>
          <w:b/>
          <w:sz w:val="32"/>
          <w:lang w:val="en-US"/>
        </w:rPr>
        <w:t xml:space="preserve">Plasma Sample Preparation (extracted from </w:t>
      </w:r>
      <w:hyperlink r:id="rId7" w:history="1">
        <w:r w:rsidR="003B7DEF" w:rsidRPr="00C9610D">
          <w:rPr>
            <w:rStyle w:val="Hyperlink"/>
            <w:b/>
            <w:sz w:val="32"/>
            <w:lang w:val="en-US"/>
          </w:rPr>
          <w:t>https://www.nature.com/articles/s41598-018-35321-7</w:t>
        </w:r>
      </w:hyperlink>
      <w:r w:rsidR="003B7DEF" w:rsidRPr="00C9610D">
        <w:rPr>
          <w:b/>
          <w:sz w:val="32"/>
          <w:lang w:val="en-US"/>
        </w:rPr>
        <w:t xml:space="preserve">) </w:t>
      </w:r>
      <w:r w:rsidR="00B75619">
        <w:rPr>
          <w:b/>
          <w:sz w:val="32"/>
          <w:lang w:val="en-US"/>
        </w:rPr>
        <w:t xml:space="preserve">- Bottom-Up </w:t>
      </w:r>
      <w:r w:rsidR="00BE6900">
        <w:rPr>
          <w:b/>
          <w:sz w:val="32"/>
          <w:lang w:val="en-US"/>
        </w:rPr>
        <w:t>Shotgun Workflow</w:t>
      </w:r>
      <w:bookmarkStart w:id="0" w:name="_GoBack"/>
      <w:bookmarkEnd w:id="0"/>
    </w:p>
    <w:p w14:paraId="743F6E58" w14:textId="77777777" w:rsidR="003B7DEF" w:rsidRDefault="003B7DEF" w:rsidP="003B7DEF">
      <w:pPr>
        <w:rPr>
          <w:b/>
          <w:lang w:val="en-US"/>
        </w:rPr>
      </w:pPr>
    </w:p>
    <w:p w14:paraId="4079098C" w14:textId="77777777" w:rsidR="003B7DEF" w:rsidRPr="003B7DEF" w:rsidRDefault="003B7DEF" w:rsidP="003B7DEF">
      <w:pPr>
        <w:rPr>
          <w:b/>
          <w:lang w:val="en-US"/>
        </w:rPr>
      </w:pPr>
      <w:r w:rsidRPr="003B7DEF">
        <w:rPr>
          <w:b/>
          <w:lang w:val="en-US"/>
        </w:rPr>
        <w:t>Materials, Sample Preparation and MS Analysis</w:t>
      </w:r>
    </w:p>
    <w:p w14:paraId="7E702921" w14:textId="77777777" w:rsidR="003B7DEF" w:rsidRPr="003B7DEF" w:rsidRDefault="003B7DEF" w:rsidP="003B7DEF">
      <w:pPr>
        <w:rPr>
          <w:lang w:val="en-US"/>
        </w:rPr>
      </w:pPr>
    </w:p>
    <w:p w14:paraId="64A087FB" w14:textId="77777777" w:rsidR="005D74ED" w:rsidRPr="005D74ED" w:rsidRDefault="005D74ED" w:rsidP="005D74ED">
      <w:pPr>
        <w:spacing w:line="480" w:lineRule="auto"/>
        <w:jc w:val="both"/>
        <w:outlineLvl w:val="0"/>
        <w:rPr>
          <w:b/>
          <w:lang w:val="en-US"/>
        </w:rPr>
      </w:pPr>
      <w:r w:rsidRPr="005D74ED">
        <w:rPr>
          <w:b/>
          <w:lang w:val="en-US"/>
        </w:rPr>
        <w:t xml:space="preserve">Materials. </w:t>
      </w:r>
      <w:r w:rsidRPr="005D74ED">
        <w:rPr>
          <w:lang w:val="en-US"/>
        </w:rPr>
        <w:t xml:space="preserve">Iodoacetamide (IAA), tris(2-carboxyethyl) phosphine hydrochloride (TCEP), triethylammonium hydrogen carbonate buffer (TEAB) 1 M pH = 8.5, sodium dodecyl sulfate (SDS), and LACB from bovine milk were purchased from Sigma (St. Louis, MO, USA). Formic acid (FA, 99%) was from BDH (VWR International Ltd., Poole, UK). Hydroxylamine solution 50 </w:t>
      </w:r>
      <w:r w:rsidRPr="005D74ED">
        <w:rPr>
          <w:i/>
          <w:lang w:val="en-US"/>
        </w:rPr>
        <w:t>wt</w:t>
      </w:r>
      <w:r w:rsidRPr="005D74ED">
        <w:rPr>
          <w:lang w:val="en-US"/>
        </w:rPr>
        <w:t xml:space="preserve"> % in H</w:t>
      </w:r>
      <w:r w:rsidRPr="005D74ED">
        <w:rPr>
          <w:vertAlign w:val="subscript"/>
          <w:lang w:val="en-US"/>
        </w:rPr>
        <w:t>2</w:t>
      </w:r>
      <w:r w:rsidRPr="005D74ED">
        <w:rPr>
          <w:lang w:val="en-US"/>
        </w:rPr>
        <w:t>O (99.999%) was acquired from Aldrich (Milwaukee, WI, USA). Water (18.2 M</w:t>
      </w:r>
      <w:r w:rsidRPr="00BB770F">
        <w:t>Ω</w:t>
      </w:r>
      <w:r w:rsidRPr="005D74ED">
        <w:rPr>
          <w:lang w:val="en-US"/>
        </w:rPr>
        <w:t>·cm at 25 °C) was obtained from a Milli-Q apparatus (Millipore, Billerica, MA, USA) and acetonitrile from BDH. Trifluoroacetic acid Uvasol® was sourced from Merck Millipore (Billerica, MA, USA). The sixplex tandem mass tags (TMTs) were purchased from Thermo Scientific (Rockford, IL, USA). Sequencing grade-modified trypsin was procured from Promega (Madison, WI, USA).  For immuno-affinity depletion of 14 abundant human proteins, multiple affinity removal system (MARS) columns, Buffer A, and Buffer B were obtained from Agilent Technologies (Wilmington, DE, USA). Oasis HLB cartridges (1cc, 30 mg) were acquired from Waters (Milford, MA, USA) and strong cation-exchange (SCX) solid-phase extraction (SPE) cartridges from Phenomenex (Torrance, CA, USA).</w:t>
      </w:r>
    </w:p>
    <w:p w14:paraId="7D8D9F64" w14:textId="77777777" w:rsidR="005D74ED" w:rsidRPr="005D74ED" w:rsidRDefault="005D74ED" w:rsidP="005D74ED">
      <w:pPr>
        <w:spacing w:line="480" w:lineRule="auto"/>
        <w:jc w:val="both"/>
        <w:outlineLvl w:val="0"/>
        <w:rPr>
          <w:b/>
          <w:lang w:val="en-US"/>
        </w:rPr>
      </w:pPr>
    </w:p>
    <w:p w14:paraId="3D28BF28" w14:textId="77777777" w:rsidR="005D74ED" w:rsidRPr="005D74ED" w:rsidRDefault="005D74ED" w:rsidP="005D74ED">
      <w:pPr>
        <w:spacing w:line="480" w:lineRule="auto"/>
        <w:jc w:val="both"/>
        <w:outlineLvl w:val="0"/>
        <w:rPr>
          <w:lang w:val="en-US"/>
        </w:rPr>
      </w:pPr>
      <w:r w:rsidRPr="005D74ED">
        <w:rPr>
          <w:b/>
          <w:lang w:val="en-US"/>
        </w:rPr>
        <w:t>Sample preparation.</w:t>
      </w:r>
      <w:r w:rsidRPr="005D74ED">
        <w:rPr>
          <w:lang w:val="en-US"/>
        </w:rPr>
        <w:t xml:space="preserve"> From 25 µL of each plasma sample (diluted in 75 µL of Buffer A containing 0.0134 mg/mL LACB and filtered with 0.22 µm filter plate from Millipore), 14 abundant plasma proteins were removed, following the manufacturer instructions, with MARS columns and high performance (HP) LC systems (Thermo Scientific, San Jose, CA, USA) equipped with an HTC-PAL (CTC Analytics AG, Zwingen, Switzerland) fraction collectors. After immunodepletion, samples were snap-frozen. Buffer exchange was performed with Strata-X 33u Polymeric reversed-phase (RP) (30mg/1mL) cartridges mounted on a 96-hole holder and a vacuum manifold, all from Phenomenex as previously described </w:t>
      </w:r>
      <w:r>
        <w:fldChar w:fldCharType="begin"/>
      </w:r>
      <w:r w:rsidRPr="005D74ED">
        <w:rPr>
          <w:lang w:val="en-US"/>
        </w:rPr>
        <w:instrText xml:space="preserve"> ADDIN EN.CITE &lt;EndNote&gt;&lt;Cite&gt;&lt;Author&gt;Dayon&lt;/Author&gt;&lt;Year&gt;2014&lt;/Year&gt;&lt;RecNum&gt;45&lt;/RecNum&gt;&lt;DisplayText&gt;&lt;style face="superscript"&gt;8&lt;/style&gt;&lt;/DisplayText&gt;&lt;record&gt;&lt;rec-number&gt;45&lt;/rec-number&gt;&lt;foreign-keys&gt;&lt;key app="EN" db-id="dsvzwtsfoaa2ddeev9nv0sendr2strrrfz5r" timestamp="1519375196" guid="1ca9d82b-e416-4d8d-b456-10a52ae7a223"&gt;45&lt;/key&gt;&lt;/foreign-keys&gt;&lt;ref-type name="Journal Article"&gt;17&lt;/ref-type&gt;&lt;contributors&gt;&lt;authors&gt;&lt;author&gt;Dayon, L.&lt;/author&gt;&lt;author&gt;Núñez Galindo, A.&lt;/author&gt;&lt;author&gt;Corthésy, J.&lt;/author&gt;&lt;author&gt;Cominetti, O.&lt;/author&gt;&lt;author&gt;Kussmann, M.&lt;/author&gt;&lt;/authors&gt;&lt;/contributors&gt;&lt;titles&gt;&lt;title&gt;Comprehensive and scalable highly automated MS-based proteomic workflow for clinical biomarker discovery in human plasma&lt;/title&gt;&lt;secondary-title&gt;J Proteome Res&lt;/secondary-title&gt;&lt;short-title&gt;Comprehensive and Scalable Highly Automated MS-Based Proteomic Workflow for Clinical Biomarker Discovery in Human Plasma&lt;/short-title&gt;&lt;/titles&gt;&lt;periodical&gt;&lt;full-title&gt;J Proteome Res&lt;/full-title&gt;&lt;/periodical&gt;&lt;edition&gt;2014/07/24&lt;/edition&gt;&lt;dates&gt;&lt;year&gt;2014&lt;/year&gt;&lt;pub-dates&gt;&lt;date&gt;Jul&lt;/date&gt;&lt;/pub-dates&gt;&lt;/dates&gt;&lt;isbn&gt;1535-3907&lt;/isbn&gt;&lt;accession-num&gt;25058407&lt;/accession-num&gt;&lt;urls&gt;&lt;related-urls&gt;&lt;url&gt;https://www.ncbi.nlm.nih.gov/pubmed/25058407&lt;/url&gt;&lt;/related-urls&gt;&lt;/urls&gt;&lt;language&gt;eng&lt;/language&gt;&lt;/record&gt;&lt;/Cite&gt;&lt;/EndNote&gt;</w:instrText>
      </w:r>
      <w:r>
        <w:fldChar w:fldCharType="separate"/>
      </w:r>
      <w:r w:rsidRPr="005D74ED">
        <w:rPr>
          <w:noProof/>
          <w:vertAlign w:val="superscript"/>
          <w:lang w:val="en-US"/>
        </w:rPr>
        <w:t>8</w:t>
      </w:r>
      <w:r>
        <w:fldChar w:fldCharType="end"/>
      </w:r>
      <w:r w:rsidRPr="005D74ED">
        <w:rPr>
          <w:lang w:val="en-US"/>
        </w:rPr>
        <w:t xml:space="preserve">. Samples were </w:t>
      </w:r>
      <w:r w:rsidRPr="005D74ED">
        <w:rPr>
          <w:lang w:val="en-US"/>
        </w:rPr>
        <w:lastRenderedPageBreak/>
        <w:t xml:space="preserve">subsequently evaporated with a </w:t>
      </w:r>
      <w:r w:rsidRPr="005D74ED">
        <w:rPr>
          <w:i/>
          <w:lang w:val="en-US"/>
        </w:rPr>
        <w:t>vacuum</w:t>
      </w:r>
      <w:r w:rsidRPr="005D74ED">
        <w:rPr>
          <w:lang w:val="en-US"/>
        </w:rPr>
        <w:t xml:space="preserve"> centrifuge (Thermo Scientific) and stored at -80 °C. Reduction, alkylation, digestion, TMT sixplex labeling, and SPE sample purification (Oasis HLB and SCX) were performed on a 4-channels Microlab Star liquid handler (Hamilton, Bonaduz, Switzerland) according to a previously reported and validated protocol </w:t>
      </w:r>
      <w:r>
        <w:fldChar w:fldCharType="begin"/>
      </w:r>
      <w:r w:rsidRPr="005D74ED">
        <w:rPr>
          <w:lang w:val="en-US"/>
        </w:rPr>
        <w:instrText xml:space="preserve"> ADDIN EN.CITE &lt;EndNote&gt;&lt;Cite&gt;&lt;Author&gt;Dayon&lt;/Author&gt;&lt;Year&gt;2014&lt;/Year&gt;&lt;RecNum&gt;45&lt;/RecNum&gt;&lt;DisplayText&gt;&lt;style face="superscript"&gt;8&lt;/style&gt;&lt;/DisplayText&gt;&lt;record&gt;&lt;rec-number&gt;45&lt;/rec-number&gt;&lt;foreign-keys&gt;&lt;key app="EN" db-id="dsvzwtsfoaa2ddeev9nv0sendr2strrrfz5r" timestamp="1519375196" guid="1ca9d82b-e416-4d8d-b456-10a52ae7a223"&gt;45&lt;/key&gt;&lt;/foreign-keys&gt;&lt;ref-type name="Journal Article"&gt;17&lt;/ref-type&gt;&lt;contributors&gt;&lt;authors&gt;&lt;author&gt;Dayon, L.&lt;/author&gt;&lt;author&gt;Núñez Galindo, A.&lt;/author&gt;&lt;author&gt;Corthésy, J.&lt;/author&gt;&lt;author&gt;Cominetti, O.&lt;/author&gt;&lt;author&gt;Kussmann, M.&lt;/author&gt;&lt;/authors&gt;&lt;/contributors&gt;&lt;titles&gt;&lt;title&gt;Comprehensive and scalable highly automated MS-based proteomic workflow for clinical biomarker discovery in human plasma&lt;/title&gt;&lt;secondary-title&gt;J Proteome Res&lt;/secondary-title&gt;&lt;short-title&gt;Comprehensive and Scalable Highly Automated MS-Based Proteomic Workflow for Clinical Biomarker Discovery in Human Plasma&lt;/short-title&gt;&lt;/titles&gt;&lt;periodical&gt;&lt;full-title&gt;J Proteome Res&lt;/full-title&gt;&lt;/periodical&gt;&lt;edition&gt;2014/07/24&lt;/edition&gt;&lt;dates&gt;&lt;year&gt;2014&lt;/year&gt;&lt;pub-dates&gt;&lt;date&gt;Jul&lt;/date&gt;&lt;/pub-dates&gt;&lt;/dates&gt;&lt;isbn&gt;1535-3907&lt;/isbn&gt;&lt;accession-num&gt;25058407&lt;/accession-num&gt;&lt;urls&gt;&lt;related-urls&gt;&lt;url&gt;https://www.ncbi.nlm.nih.gov/pubmed/25058407&lt;/url&gt;&lt;/related-urls&gt;&lt;/urls&gt;&lt;language&gt;eng&lt;/language&gt;&lt;/record&gt;&lt;/Cite&gt;&lt;/EndNote&gt;</w:instrText>
      </w:r>
      <w:r>
        <w:fldChar w:fldCharType="separate"/>
      </w:r>
      <w:r w:rsidRPr="005D74ED">
        <w:rPr>
          <w:noProof/>
          <w:vertAlign w:val="superscript"/>
          <w:lang w:val="en-US"/>
        </w:rPr>
        <w:t>8</w:t>
      </w:r>
      <w:r>
        <w:fldChar w:fldCharType="end"/>
      </w:r>
      <w:r w:rsidRPr="005D74ED">
        <w:rPr>
          <w:lang w:val="en-US"/>
        </w:rPr>
        <w:t>. Briefly, each lyophilized sample was dissolved in 95 µL of TEAB 100 mM and 5 µL of SDS 2%. Next, a volume of 5.3 µL TCEP 20 mM was added and incubation was performed for 1 h at 55 °C. A volume of 5.5 µL IAA 150 mM was added (incubation for 1 h in the dark). Following this step, enzymatic digestion was performed by addition of 10 µL trypsin at 0.25 µg·µL</w:t>
      </w:r>
      <w:r w:rsidRPr="005D74ED">
        <w:rPr>
          <w:vertAlign w:val="superscript"/>
          <w:lang w:val="en-US"/>
        </w:rPr>
        <w:t>−1</w:t>
      </w:r>
      <w:r w:rsidRPr="005D74ED">
        <w:rPr>
          <w:lang w:val="en-US"/>
        </w:rPr>
        <w:t xml:space="preserve"> in TEAB 100 mM and incubation overnight at 37 °C. TMT labelling was performed by addition of 0.8 mg sixplex TMT reagent in 41 µL CH</w:t>
      </w:r>
      <w:r w:rsidRPr="005D74ED">
        <w:rPr>
          <w:vertAlign w:val="subscript"/>
          <w:lang w:val="en-US"/>
        </w:rPr>
        <w:t>3</w:t>
      </w:r>
      <w:r w:rsidRPr="005D74ED">
        <w:rPr>
          <w:lang w:val="en-US"/>
        </w:rPr>
        <w:t>CN (incubation for 1 h at room temperature). After reaction, a volume of 8 µL hydroxylamine 5% in H</w:t>
      </w:r>
      <w:r w:rsidRPr="005D74ED">
        <w:rPr>
          <w:vertAlign w:val="subscript"/>
          <w:lang w:val="en-US"/>
        </w:rPr>
        <w:t>2</w:t>
      </w:r>
      <w:r w:rsidRPr="005D74ED">
        <w:rPr>
          <w:lang w:val="en-US"/>
        </w:rPr>
        <w:t>O was added to each tube to react for 15 min. Samples from a given sixplex TMT experiment were pooled together in a new tube (each TMT experiment included 4 samples and 2 pooled plasma samples which were used as biological references for relative quantification of proteins). Pooled samples were further purified with Oasis HLB cartridges followed by SCX SPE. The purified pooled sixplex TMT-labeled samples were then evaporated to dryness before storage at -80 °C.</w:t>
      </w:r>
    </w:p>
    <w:p w14:paraId="5F3A36DF" w14:textId="77777777" w:rsidR="005D74ED" w:rsidRPr="005D74ED" w:rsidRDefault="005D74ED" w:rsidP="005D74ED">
      <w:pPr>
        <w:spacing w:line="480" w:lineRule="auto"/>
        <w:jc w:val="both"/>
        <w:rPr>
          <w:lang w:val="en-US"/>
        </w:rPr>
      </w:pPr>
    </w:p>
    <w:p w14:paraId="4B790191" w14:textId="2B42D54E" w:rsidR="005D74ED" w:rsidRPr="005D74ED" w:rsidRDefault="005D74ED" w:rsidP="005D74ED">
      <w:pPr>
        <w:spacing w:line="480" w:lineRule="auto"/>
        <w:jc w:val="both"/>
        <w:outlineLvl w:val="0"/>
        <w:rPr>
          <w:lang w:val="en-US"/>
        </w:rPr>
      </w:pPr>
      <w:r w:rsidRPr="005D74ED">
        <w:rPr>
          <w:b/>
          <w:lang w:val="en-US"/>
        </w:rPr>
        <w:t>LC-MS/MS analysis.</w:t>
      </w:r>
      <w:r w:rsidRPr="005D74ED">
        <w:rPr>
          <w:lang w:val="en-US"/>
        </w:rPr>
        <w:t xml:space="preserve"> The samples were dissolved in 500 µL H</w:t>
      </w:r>
      <w:r w:rsidRPr="005D74ED">
        <w:rPr>
          <w:vertAlign w:val="subscript"/>
          <w:lang w:val="en-US"/>
        </w:rPr>
        <w:t>2</w:t>
      </w:r>
      <w:r w:rsidRPr="005D74ED">
        <w:rPr>
          <w:lang w:val="en-US"/>
        </w:rPr>
        <w:t>O/CH</w:t>
      </w:r>
      <w:r w:rsidRPr="005D74ED">
        <w:rPr>
          <w:vertAlign w:val="subscript"/>
          <w:lang w:val="en-US"/>
        </w:rPr>
        <w:t>3</w:t>
      </w:r>
      <w:r w:rsidRPr="005D74ED">
        <w:rPr>
          <w:lang w:val="en-US"/>
        </w:rPr>
        <w:t>CN/FA 96.9/3/0.1 for RP-LC-MS/MS. LC-MS/MS was performed on two identical systems composed of a hybrid LTQ-OT Elite and an Ultimate 3000 RSLC nano system (Thermo Scientific). Proteolytic peptides (injection of 5 µL of sample) were trapped on an Acclaim PepMap 75 µm × 2 cm (C18, 3 µm, 100 Å) pre-column and separated on an Acclaim PepMap RSLC 75 µm × 50 cm (C18, 2 µm, 100 Å) column (Thermo Scientific) coupled to a stainless steel nanobore emitter (40 mm, OD 1/32”) mounted on a Nanospray Flex Ion Source (Thermo Scientific). The analytical separation was run for 150 min using a gradient that reached 30% of CH</w:t>
      </w:r>
      <w:r w:rsidRPr="005D74ED">
        <w:rPr>
          <w:vertAlign w:val="subscript"/>
          <w:lang w:val="en-US"/>
        </w:rPr>
        <w:t>3</w:t>
      </w:r>
      <w:r w:rsidRPr="005D74ED">
        <w:rPr>
          <w:lang w:val="en-US"/>
        </w:rPr>
        <w:t>CN after 140 min and 80% of CH</w:t>
      </w:r>
      <w:r w:rsidRPr="005D74ED">
        <w:rPr>
          <w:vertAlign w:val="subscript"/>
          <w:lang w:val="en-US"/>
        </w:rPr>
        <w:t>3</w:t>
      </w:r>
      <w:r w:rsidRPr="005D74ED">
        <w:rPr>
          <w:lang w:val="en-US"/>
        </w:rPr>
        <w:t>CN after 150 min at a flow rate of 220 nL/min. For MS survey scans, the OT resolution was 120000 (ion population of 1 × 10</w:t>
      </w:r>
      <w:r w:rsidRPr="005D74ED">
        <w:rPr>
          <w:vertAlign w:val="superscript"/>
          <w:lang w:val="en-US"/>
        </w:rPr>
        <w:t>6</w:t>
      </w:r>
      <w:r w:rsidRPr="005D74ED">
        <w:rPr>
          <w:lang w:val="en-US"/>
        </w:rPr>
        <w:t xml:space="preserve">) with an </w:t>
      </w:r>
      <w:r w:rsidRPr="005D74ED">
        <w:rPr>
          <w:i/>
          <w:lang w:val="en-US"/>
        </w:rPr>
        <w:t>m</w:t>
      </w:r>
      <w:r w:rsidRPr="005D74ED">
        <w:rPr>
          <w:lang w:val="en-US"/>
        </w:rPr>
        <w:t>/</w:t>
      </w:r>
      <w:r w:rsidRPr="005D74ED">
        <w:rPr>
          <w:i/>
          <w:lang w:val="en-US"/>
        </w:rPr>
        <w:t>z</w:t>
      </w:r>
      <w:r w:rsidRPr="005D74ED">
        <w:rPr>
          <w:lang w:val="en-US"/>
        </w:rPr>
        <w:t xml:space="preserve"> window from 300 to 1500. For MS/MS with higher-energy collisional dissociation at 35% of the normalized collision energy, ion population was set to 1 × 10</w:t>
      </w:r>
      <w:r w:rsidRPr="005D74ED">
        <w:rPr>
          <w:vertAlign w:val="superscript"/>
          <w:lang w:val="en-US"/>
        </w:rPr>
        <w:t>5</w:t>
      </w:r>
      <w:r w:rsidRPr="005D74ED">
        <w:rPr>
          <w:lang w:val="en-US"/>
        </w:rPr>
        <w:t xml:space="preserve"> (isolation width of 2), with a resolution of 15000, first mass </w:t>
      </w:r>
      <w:r w:rsidRPr="005D74ED">
        <w:rPr>
          <w:lang w:val="en-US"/>
        </w:rPr>
        <w:lastRenderedPageBreak/>
        <w:t xml:space="preserve">at </w:t>
      </w:r>
      <w:r w:rsidRPr="005D74ED">
        <w:rPr>
          <w:i/>
          <w:lang w:val="en-US"/>
        </w:rPr>
        <w:t>m</w:t>
      </w:r>
      <w:r w:rsidRPr="005D74ED">
        <w:rPr>
          <w:lang w:val="en-US"/>
        </w:rPr>
        <w:t>/</w:t>
      </w:r>
      <w:r w:rsidRPr="005D74ED">
        <w:rPr>
          <w:i/>
          <w:lang w:val="en-US"/>
        </w:rPr>
        <w:t>z</w:t>
      </w:r>
      <w:r w:rsidRPr="005D74ED">
        <w:rPr>
          <w:lang w:val="en-US"/>
        </w:rPr>
        <w:t xml:space="preserve"> = 100, and a maximum injection time of 250 ms in the OT. A maximum of 10 precursor ions (most intense) were selected for MS/MS. Ions with 1+ and unassigned charge-states were rejected from MS/MS analysis. Dynamic exclusion was set for 60 s within a ± 5 ppm window. A lock mass of m/z = 445.1200 was used. Each sample was analyzed in duplicate once on each of the two independent but identical RP-LC-MS/MS platforms. The exact same setup and instrumentation were used for both studies (</w:t>
      </w:r>
      <w:r w:rsidRPr="005D74ED">
        <w:rPr>
          <w:i/>
          <w:lang w:val="en-US"/>
        </w:rPr>
        <w:t>i.e.</w:t>
      </w:r>
      <w:r w:rsidRPr="005D74ED">
        <w:rPr>
          <w:lang w:val="en-US"/>
        </w:rPr>
        <w:t>, C1 and C2) with a 15-month interval. The mass spectrometers were calibrated every week and transfer tubes were cleaned. A complex protein digest was analyzed in triplicate on the RP-LC-MS/MS platforms to validate their performance before analysis of a batch of samples</w:t>
      </w:r>
      <w:r>
        <w:fldChar w:fldCharType="begin"/>
      </w:r>
      <w:r w:rsidRPr="005D74ED">
        <w:rPr>
          <w:lang w:val="en-US"/>
        </w:rPr>
        <w:instrText xml:space="preserve"> ADDIN EN.CITE &lt;EndNote&gt;&lt;Cite&gt;&lt;Author&gt;Dayon&lt;/Author&gt;&lt;Year&gt;2017&lt;/Year&gt;&lt;RecNum&gt;88&lt;/RecNum&gt;&lt;DisplayText&gt;&lt;style face="superscript"&gt;35&lt;/style&gt;&lt;/DisplayText&gt;&lt;record&gt;&lt;rec-number&gt;88&lt;/rec-number&gt;&lt;foreign-keys&gt;&lt;key app="EN" db-id="dsvzwtsfoaa2ddeev9nv0sendr2strrrfz5r" timestamp="1538034054" guid="a1f43c4b-a4f5-4893-a3b6-9022c2056c03"&gt;88&lt;/key&gt;&lt;/foreign-keys&gt;&lt;ref-type name="Journal Article"&gt;17&lt;/ref-type&gt;&lt;contributors&gt;&lt;authors&gt;&lt;author&gt;Dayon, Loïc&lt;/author&gt;&lt;author&gt;Galindo, Antonio Núñez&lt;/author&gt;&lt;author&gt;Cominetti, Ornella&lt;/author&gt;&lt;author&gt;Corthésy, John&lt;/author&gt;&lt;author&gt;Kussmann, Martin %J Methods in molecular biology&lt;/author&gt;&lt;/authors&gt;&lt;/contributors&gt;&lt;titles&gt;&lt;title&gt;A Highly Automated Shotgun Proteomic Workflow: Clinical Scale and Robustness for Biomarker Discovery in Blood&lt;/title&gt;&lt;/titles&gt;&lt;pages&gt;433-449&lt;/pages&gt;&lt;volume&gt;1619&lt;/volume&gt;&lt;dates&gt;&lt;year&gt;2017&lt;/year&gt;&lt;/dates&gt;&lt;urls&gt;&lt;/urls&gt;&lt;/record&gt;&lt;/Cite&gt;&lt;/EndNote&gt;</w:instrText>
      </w:r>
      <w:r>
        <w:fldChar w:fldCharType="separate"/>
      </w:r>
      <w:r w:rsidRPr="005D74ED">
        <w:rPr>
          <w:noProof/>
          <w:vertAlign w:val="superscript"/>
          <w:lang w:val="en-US"/>
        </w:rPr>
        <w:t>35</w:t>
      </w:r>
      <w:r>
        <w:fldChar w:fldCharType="end"/>
      </w:r>
      <w:r w:rsidRPr="005D74ED">
        <w:rPr>
          <w:lang w:val="en-US"/>
        </w:rPr>
        <w:t>. LC columns were changed every 3 weeks and the solvents freshly prepared.</w:t>
      </w:r>
    </w:p>
    <w:p w14:paraId="075D69F4" w14:textId="72634024" w:rsidR="007F5692" w:rsidRPr="003B7DEF" w:rsidRDefault="007F5692" w:rsidP="005D74ED">
      <w:pPr>
        <w:rPr>
          <w:lang w:val="en-US"/>
        </w:rPr>
      </w:pPr>
    </w:p>
    <w:sectPr w:rsidR="007F5692" w:rsidRPr="003B7DEF" w:rsidSect="00FE6825">
      <w:pgSz w:w="11907" w:h="16840"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11"/>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DEF"/>
    <w:rsid w:val="00252F6A"/>
    <w:rsid w:val="003B7DEF"/>
    <w:rsid w:val="005D74ED"/>
    <w:rsid w:val="007F5692"/>
    <w:rsid w:val="00B75619"/>
    <w:rsid w:val="00BE6900"/>
    <w:rsid w:val="00C9610D"/>
    <w:rsid w:val="00FE68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BB033"/>
  <w15:chartTrackingRefBased/>
  <w15:docId w15:val="{FAA07495-B986-4F25-9071-6A91BE1FD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DEF"/>
    <w:rPr>
      <w:color w:val="0563C1" w:themeColor="hyperlink"/>
      <w:u w:val="single"/>
    </w:rPr>
  </w:style>
  <w:style w:type="character" w:styleId="UnresolvedMention">
    <w:name w:val="Unresolved Mention"/>
    <w:basedOn w:val="DefaultParagraphFont"/>
    <w:uiPriority w:val="99"/>
    <w:semiHidden/>
    <w:unhideWhenUsed/>
    <w:rsid w:val="003B7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nature.com/articles/s41598-018-35321-7"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89D51D13CB5A4C9DC5745365B65B4B" ma:contentTypeVersion="14" ma:contentTypeDescription="Create a new document." ma:contentTypeScope="" ma:versionID="fb7a366a3677a2694978e690cb6a539b">
  <xsd:schema xmlns:xsd="http://www.w3.org/2001/XMLSchema" xmlns:xs="http://www.w3.org/2001/XMLSchema" xmlns:p="http://schemas.microsoft.com/office/2006/metadata/properties" xmlns:ns3="914d676f-8a53-485a-850c-5e5b069881ae" xmlns:ns4="58f7d51c-cd7a-4e72-9d7b-bd7390d14737" targetNamespace="http://schemas.microsoft.com/office/2006/metadata/properties" ma:root="true" ma:fieldsID="15b3bf4d9900c25f28d2926d138c0e76" ns3:_="" ns4:_="">
    <xsd:import namespace="914d676f-8a53-485a-850c-5e5b069881ae"/>
    <xsd:import namespace="58f7d51c-cd7a-4e72-9d7b-bd7390d14737"/>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d676f-8a53-485a-850c-5e5b069881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f7d51c-cd7a-4e72-9d7b-bd7390d1473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303572-ED89-4E27-82CA-7CC838416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d676f-8a53-485a-850c-5e5b069881ae"/>
    <ds:schemaRef ds:uri="58f7d51c-cd7a-4e72-9d7b-bd7390d147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9695AF-6BDA-4DA2-8A93-FCAC324595D1}">
  <ds:schemaRefs>
    <ds:schemaRef ds:uri="http://schemas.microsoft.com/sharepoint/v3/contenttype/forms"/>
  </ds:schemaRefs>
</ds:datastoreItem>
</file>

<file path=customXml/itemProps3.xml><?xml version="1.0" encoding="utf-8"?>
<ds:datastoreItem xmlns:ds="http://schemas.openxmlformats.org/officeDocument/2006/customXml" ds:itemID="{FE14B46C-40EF-4FDE-B82F-3EE9224259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1379</Words>
  <Characters>7587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Nestle</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Dayon,Loic,LAUSANNE,Proteins / Peptides</dc:creator>
  <cp:keywords/>
  <dc:description/>
  <cp:lastModifiedBy>Dayon,Loic,LAUSANNE,Proteins / Peptides</cp:lastModifiedBy>
  <cp:revision>6</cp:revision>
  <dcterms:created xsi:type="dcterms:W3CDTF">2020-03-19T08:35:00Z</dcterms:created>
  <dcterms:modified xsi:type="dcterms:W3CDTF">2020-03-19T08:47:00Z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0x0101004C89D51D13CB5A4C9DC5745365B65B4B</vt:lpwstr>
  </property>
</Properties>
</file>